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CD6C0B" w:rsidP="00CD6C0B">
      <w:pPr>
        <w:spacing w:after="0" w:line="480" w:lineRule="auto"/>
        <w:contextualSpacing/>
        <w:jc w:val="center"/>
        <w:rPr>
          <w:rFonts w:ascii="Times New Roman" w:hAnsi="Times New Roman" w:cs="Times New Roman"/>
          <w:b/>
          <w:sz w:val="24"/>
          <w:szCs w:val="24"/>
        </w:rPr>
      </w:pPr>
    </w:p>
    <w:p w:rsidR="00CD6C0B" w:rsidRDefault="00D95DED" w:rsidP="00CD6C0B">
      <w:pPr>
        <w:spacing w:after="0" w:line="480" w:lineRule="auto"/>
        <w:contextualSpacing/>
        <w:jc w:val="center"/>
        <w:rPr>
          <w:rFonts w:ascii="Times New Roman" w:hAnsi="Times New Roman" w:cs="Times New Roman"/>
          <w:b/>
          <w:sz w:val="24"/>
          <w:szCs w:val="24"/>
        </w:rPr>
      </w:pPr>
      <w:r w:rsidRPr="000E6961">
        <w:rPr>
          <w:rFonts w:ascii="Times New Roman" w:hAnsi="Times New Roman" w:cs="Times New Roman"/>
          <w:b/>
          <w:sz w:val="24"/>
          <w:szCs w:val="24"/>
        </w:rPr>
        <w:t>Fischer Esterification Worksheet</w:t>
      </w:r>
    </w:p>
    <w:p w:rsidR="00CD6C0B" w:rsidRDefault="00CD6C0B" w:rsidP="00CD6C0B">
      <w:pPr>
        <w:spacing w:after="0" w:line="480" w:lineRule="auto"/>
        <w:contextualSpacing/>
        <w:jc w:val="center"/>
        <w:rPr>
          <w:rFonts w:ascii="Times New Roman" w:hAnsi="Times New Roman" w:cs="Times New Roman"/>
          <w:b/>
          <w:sz w:val="24"/>
          <w:szCs w:val="24"/>
        </w:rPr>
      </w:pPr>
    </w:p>
    <w:p w:rsidR="003D2687" w:rsidRPr="000E6961" w:rsidRDefault="003D2687" w:rsidP="00CD6C0B">
      <w:pPr>
        <w:spacing w:after="0" w:line="480" w:lineRule="auto"/>
        <w:contextualSpacing/>
        <w:jc w:val="center"/>
        <w:rPr>
          <w:rFonts w:ascii="Times New Roman" w:hAnsi="Times New Roman" w:cs="Times New Roman"/>
          <w:b/>
          <w:sz w:val="24"/>
          <w:szCs w:val="24"/>
        </w:rPr>
      </w:pPr>
      <w:bookmarkStart w:id="0" w:name="_GoBack"/>
      <w:bookmarkEnd w:id="0"/>
    </w:p>
    <w:p w:rsidR="007E013D"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Student’s Name</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Institutional Affiliation</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Course Name &amp; Number</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Instructor’s Name</w:t>
      </w:r>
    </w:p>
    <w:p w:rsidR="00CD6C0B" w:rsidRPr="00CD6C0B" w:rsidRDefault="00D95DED" w:rsidP="007F100B">
      <w:pPr>
        <w:spacing w:after="0" w:line="480" w:lineRule="auto"/>
        <w:contextualSpacing/>
        <w:jc w:val="center"/>
        <w:rPr>
          <w:rFonts w:ascii="Times New Roman" w:hAnsi="Times New Roman" w:cs="Times New Roman"/>
          <w:sz w:val="24"/>
          <w:szCs w:val="24"/>
        </w:rPr>
      </w:pPr>
      <w:r w:rsidRPr="00CD6C0B">
        <w:rPr>
          <w:rFonts w:ascii="Times New Roman" w:hAnsi="Times New Roman" w:cs="Times New Roman"/>
          <w:sz w:val="24"/>
          <w:szCs w:val="24"/>
        </w:rPr>
        <w:t>Date</w:t>
      </w:r>
    </w:p>
    <w:p w:rsidR="007E013D" w:rsidRPr="00CD6C0B" w:rsidRDefault="00D95DED">
      <w:pPr>
        <w:rPr>
          <w:rFonts w:ascii="Times New Roman" w:hAnsi="Times New Roman" w:cs="Times New Roman"/>
          <w:sz w:val="24"/>
          <w:szCs w:val="24"/>
        </w:rPr>
      </w:pPr>
      <w:r w:rsidRPr="00CD6C0B">
        <w:rPr>
          <w:rFonts w:ascii="Times New Roman" w:hAnsi="Times New Roman" w:cs="Times New Roman"/>
          <w:sz w:val="24"/>
          <w:szCs w:val="24"/>
        </w:rPr>
        <w:br w:type="page"/>
      </w:r>
    </w:p>
    <w:p w:rsidR="00F567AB" w:rsidRPr="000E6961" w:rsidRDefault="00D95DED" w:rsidP="007F100B">
      <w:pPr>
        <w:spacing w:after="0" w:line="480" w:lineRule="auto"/>
        <w:contextualSpacing/>
        <w:jc w:val="center"/>
        <w:rPr>
          <w:rFonts w:ascii="Times New Roman" w:hAnsi="Times New Roman" w:cs="Times New Roman"/>
          <w:b/>
          <w:sz w:val="24"/>
          <w:szCs w:val="24"/>
        </w:rPr>
      </w:pPr>
      <w:r w:rsidRPr="000E6961">
        <w:rPr>
          <w:rFonts w:ascii="Times New Roman" w:hAnsi="Times New Roman" w:cs="Times New Roman"/>
          <w:b/>
          <w:sz w:val="24"/>
          <w:szCs w:val="24"/>
        </w:rPr>
        <w:lastRenderedPageBreak/>
        <w:t>Fischer Esterification Worksheet</w:t>
      </w:r>
    </w:p>
    <w:p w:rsidR="00F567AB"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1. Theoretical Ma</w:t>
      </w:r>
      <w:r w:rsidR="004A5022" w:rsidRPr="000E6961">
        <w:rPr>
          <w:rFonts w:ascii="Times New Roman" w:hAnsi="Times New Roman" w:cs="Times New Roman"/>
          <w:b/>
          <w:sz w:val="24"/>
          <w:szCs w:val="24"/>
        </w:rPr>
        <w:t>ss yield and percent yield</w:t>
      </w:r>
    </w:p>
    <w:p w:rsidR="00376895" w:rsidRPr="000E6961" w:rsidRDefault="00D95DED" w:rsidP="007F100B">
      <w:pPr>
        <w:spacing w:after="0" w:line="480" w:lineRule="auto"/>
        <w:contextualSpacing/>
        <w:rPr>
          <w:rFonts w:ascii="Times New Roman" w:eastAsiaTheme="minorEastAsia" w:hAnsi="Times New Roman" w:cs="Times New Roman"/>
          <w:sz w:val="24"/>
          <w:szCs w:val="24"/>
        </w:rPr>
      </w:pPr>
      <w:r w:rsidRPr="000E6961">
        <w:rPr>
          <w:rFonts w:ascii="Times New Roman" w:eastAsiaTheme="minorEastAsia" w:hAnsi="Times New Roman" w:cs="Times New Roman"/>
          <w:sz w:val="24"/>
          <w:szCs w:val="24"/>
        </w:rPr>
        <w:t>The theoretical yield of the reaction is the highest amount of product anticipated after the limiting reagent is completely absorbed.</w:t>
      </w:r>
    </w:p>
    <w:p w:rsidR="00F567AB" w:rsidRPr="000E6961" w:rsidRDefault="00D95DED" w:rsidP="007F100B">
      <w:pPr>
        <w:spacing w:after="0" w:line="480" w:lineRule="auto"/>
        <w:contextualSpacing/>
        <w:rPr>
          <w:rFonts w:ascii="Times New Roman" w:eastAsiaTheme="minorEastAsia" w:hAnsi="Times New Roman" w:cs="Times New Roman"/>
          <w:sz w:val="24"/>
          <w:szCs w:val="24"/>
        </w:rPr>
      </w:pPr>
      <m:oMathPara>
        <m:oMath>
          <m:r>
            <w:rPr>
              <w:rFonts w:ascii="Cambria Math" w:hAnsi="Cambria Math" w:cs="Times New Roman"/>
              <w:sz w:val="24"/>
              <w:szCs w:val="24"/>
            </w:rPr>
            <m:t>percent yield=</m:t>
          </m:r>
          <m:f>
            <m:fPr>
              <m:ctrlPr>
                <w:rPr>
                  <w:rFonts w:ascii="Cambria Math" w:hAnsi="Cambria Math" w:cs="Times New Roman"/>
                  <w:i/>
                  <w:sz w:val="24"/>
                  <w:szCs w:val="24"/>
                </w:rPr>
              </m:ctrlPr>
            </m:fPr>
            <m:num>
              <m:r>
                <w:rPr>
                  <w:rFonts w:ascii="Cambria Math" w:hAnsi="Cambria Math" w:cs="Times New Roman"/>
                  <w:sz w:val="24"/>
                  <w:szCs w:val="24"/>
                </w:rPr>
                <m:t>actual</m:t>
              </m:r>
            </m:num>
            <m:den>
              <m:r>
                <w:rPr>
                  <w:rFonts w:ascii="Cambria Math" w:hAnsi="Cambria Math" w:cs="Times New Roman"/>
                  <w:sz w:val="24"/>
                  <w:szCs w:val="24"/>
                </w:rPr>
                <m:t>theoretical</m:t>
              </m:r>
            </m:den>
          </m:f>
          <m:r>
            <w:rPr>
              <w:rFonts w:ascii="Cambria Math" w:hAnsi="Cambria Math" w:cs="Times New Roman"/>
              <w:sz w:val="24"/>
              <w:szCs w:val="24"/>
            </w:rPr>
            <m:t>yield×100</m:t>
          </m:r>
        </m:oMath>
      </m:oMathPara>
    </w:p>
    <w:p w:rsidR="00093EA7" w:rsidRPr="009E33E6" w:rsidRDefault="00D95DED" w:rsidP="007F100B">
      <w:pPr>
        <w:spacing w:after="0" w:line="480" w:lineRule="auto"/>
        <w:contextualSpacing/>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C2H6O → C2H4+ H2O </m:t>
          </m:r>
        </m:oMath>
      </m:oMathPara>
    </w:p>
    <w:p w:rsidR="009E33E6" w:rsidRDefault="00020A00" w:rsidP="007F100B">
      <w:pPr>
        <w:spacing w:after="0" w:line="480" w:lineRule="auto"/>
        <w:contextualSpacing/>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Actual yield=28g</m:t>
          </m:r>
        </m:oMath>
      </m:oMathPara>
    </w:p>
    <w:p w:rsidR="009E33E6" w:rsidRDefault="00020A00" w:rsidP="007F100B">
      <w:pPr>
        <w:spacing w:after="0" w:line="480" w:lineRule="auto"/>
        <w:contextualSpacing/>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Theoretical yield= 46</m:t>
          </m:r>
        </m:oMath>
      </m:oMathPara>
    </w:p>
    <w:p w:rsidR="00020A00" w:rsidRPr="005B3A4C" w:rsidRDefault="009C054C" w:rsidP="007F100B">
      <w:pPr>
        <w:spacing w:after="0" w:line="480" w:lineRule="auto"/>
        <w:contextualSpacing/>
        <w:rPr>
          <w:rFonts w:ascii="Times New Roman" w:eastAsiaTheme="minorEastAsia" w:hAnsi="Times New Roman" w:cs="Times New Roman"/>
          <w:sz w:val="24"/>
          <w:szCs w:val="24"/>
        </w:rPr>
      </w:pPr>
      <m:oMathPara>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28</m:t>
              </m:r>
            </m:num>
            <m:den>
              <m:r>
                <w:rPr>
                  <w:rFonts w:ascii="Cambria Math" w:eastAsiaTheme="minorEastAsia" w:hAnsi="Cambria Math" w:cs="Times New Roman"/>
                  <w:sz w:val="24"/>
                  <w:szCs w:val="24"/>
                </w:rPr>
                <m:t>46</m:t>
              </m:r>
            </m:den>
          </m:f>
          <m:r>
            <w:rPr>
              <w:rFonts w:ascii="Cambria Math" w:eastAsiaTheme="minorEastAsia" w:hAnsi="Cambria Math" w:cs="Times New Roman"/>
              <w:sz w:val="24"/>
              <w:szCs w:val="24"/>
            </w:rPr>
            <m:t>×100</m:t>
          </m:r>
        </m:oMath>
      </m:oMathPara>
    </w:p>
    <w:p w:rsidR="00B93B66" w:rsidRPr="00B93B66" w:rsidRDefault="005B3A4C" w:rsidP="007F100B">
      <w:pPr>
        <w:spacing w:after="0" w:line="480" w:lineRule="auto"/>
        <w:contextualSpacing/>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=60.9%</m:t>
          </m:r>
        </m:oMath>
      </m:oMathPara>
    </w:p>
    <w:p w:rsidR="00093EA7" w:rsidRPr="000E6961" w:rsidRDefault="00093EA7" w:rsidP="007F100B">
      <w:pPr>
        <w:spacing w:after="0" w:line="480" w:lineRule="auto"/>
        <w:contextualSpacing/>
        <w:rPr>
          <w:rFonts w:ascii="Times New Roman" w:eastAsiaTheme="minorEastAsia" w:hAnsi="Times New Roman" w:cs="Times New Roman"/>
          <w:sz w:val="24"/>
          <w:szCs w:val="24"/>
        </w:rPr>
      </w:pPr>
    </w:p>
    <w:p w:rsidR="00F567AB"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2. IR Analysis</w:t>
      </w:r>
    </w:p>
    <w:p w:rsidR="0040685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5741806" cy="3600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53417" cy="3607731"/>
                    </a:xfrm>
                    <a:prstGeom prst="rect">
                      <a:avLst/>
                    </a:prstGeom>
                    <a:noFill/>
                  </pic:spPr>
                </pic:pic>
              </a:graphicData>
            </a:graphic>
          </wp:inline>
        </w:drawing>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Consider the HNMR spectra provided and complete the following</w:t>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lastRenderedPageBreak/>
        <w:t>Identify the phenolic hydrogen.</w:t>
      </w:r>
    </w:p>
    <w:p w:rsidR="006A68E1"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4381500" cy="23336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381500" cy="2333625"/>
                    </a:xfrm>
                    <a:prstGeom prst="rect">
                      <a:avLst/>
                    </a:prstGeom>
                    <a:noFill/>
                  </pic:spPr>
                </pic:pic>
              </a:graphicData>
            </a:graphic>
          </wp:inline>
        </w:drawing>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Consider the Expansion of the upfield region (60-4.5ppm) of the spectrum and determine the structure of the carbon chain of the ester.</w:t>
      </w:r>
    </w:p>
    <w:p w:rsidR="00707294"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noProof/>
          <w:sz w:val="24"/>
          <w:szCs w:val="24"/>
        </w:rPr>
        <w:drawing>
          <wp:inline distT="0" distB="0" distL="0" distR="0">
            <wp:extent cx="3352800" cy="3876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352800" cy="3876675"/>
                    </a:xfrm>
                    <a:prstGeom prst="rect">
                      <a:avLst/>
                    </a:prstGeom>
                    <a:noFill/>
                  </pic:spPr>
                </pic:pic>
              </a:graphicData>
            </a:graphic>
          </wp:inline>
        </w:drawing>
      </w:r>
    </w:p>
    <w:p w:rsidR="005F67A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Consider the Expansion of the downfield region (56.8-8.0ppm) of the spectrum and determine the aromatic ring's substitution (ortho-, meta-, or para-). You will have to make use of your earlier knowledge of aromatic splitting patterns. (Note that the signal at 67.6 is from a CHCI, impurity in the NMR solvent.)</w:t>
      </w:r>
    </w:p>
    <w:p w:rsidR="00A6038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lastRenderedPageBreak/>
        <w:drawing>
          <wp:inline distT="0" distB="0" distL="0" distR="0">
            <wp:extent cx="5048250" cy="2828925"/>
            <wp:effectExtent l="0" t="0" r="0" b="9525"/>
            <wp:docPr id="8" name="Picture 8" descr="Organic Chemistry/Spectroscopy - Wikibooks, open books for an open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Organic Chemistry/Spectroscopy - Wikibooks, open books for an open worl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048250" cy="2828925"/>
                    </a:xfrm>
                    <a:prstGeom prst="rect">
                      <a:avLst/>
                    </a:prstGeom>
                    <a:noFill/>
                    <a:ln>
                      <a:noFill/>
                    </a:ln>
                  </pic:spPr>
                </pic:pic>
              </a:graphicData>
            </a:graphic>
          </wp:inline>
        </w:drawing>
      </w:r>
    </w:p>
    <w:p w:rsidR="00F567AB"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4171950" cy="5572448"/>
            <wp:effectExtent l="0" t="0" r="0" b="9525"/>
            <wp:docPr id="9" name="Picture 9" descr="A) 19 F NMR of the p[(DMAEMA 31-co-tBAFPEMA 2 )] macro-CTA exhibiting...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A) 19 F NMR of the p[(DMAEMA 31-co-tBAFPEMA 2 )] macro-CTA exhibiting... |  Download Scientific Diagram"/>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230075" cy="5650086"/>
                    </a:xfrm>
                    <a:prstGeom prst="rect">
                      <a:avLst/>
                    </a:prstGeom>
                    <a:noFill/>
                    <a:ln>
                      <a:noFill/>
                    </a:ln>
                  </pic:spPr>
                </pic:pic>
              </a:graphicData>
            </a:graphic>
          </wp:inline>
        </w:drawing>
      </w:r>
    </w:p>
    <w:p w:rsidR="004C539C" w:rsidRPr="007F100B" w:rsidRDefault="00D95DED" w:rsidP="007F100B">
      <w:pPr>
        <w:spacing w:after="0" w:line="480" w:lineRule="auto"/>
        <w:contextualSpacing/>
        <w:rPr>
          <w:rFonts w:ascii="Times New Roman" w:hAnsi="Times New Roman" w:cs="Times New Roman"/>
          <w:b/>
          <w:sz w:val="24"/>
          <w:szCs w:val="24"/>
        </w:rPr>
      </w:pPr>
      <w:r w:rsidRPr="007F100B">
        <w:rPr>
          <w:rFonts w:ascii="Times New Roman" w:hAnsi="Times New Roman" w:cs="Times New Roman"/>
          <w:b/>
          <w:sz w:val="24"/>
          <w:szCs w:val="24"/>
        </w:rPr>
        <w:lastRenderedPageBreak/>
        <w:t>3. Print out the full HNMR (60-12ppm) spectrum and draw the determined structure of the inter onto it. Label both the H-atoms and the signals as a, b, c., etc.</w:t>
      </w:r>
    </w:p>
    <w:p w:rsidR="004C539C"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3686175" cy="3181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686175" cy="3181350"/>
                    </a:xfrm>
                    <a:prstGeom prst="rect">
                      <a:avLst/>
                    </a:prstGeom>
                    <a:noFill/>
                  </pic:spPr>
                </pic:pic>
              </a:graphicData>
            </a:graphic>
          </wp:inline>
        </w:drawing>
      </w:r>
    </w:p>
    <w:p w:rsidR="00A41AD6"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4.</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Did your determination of substitution by NMR analysis agree with that of your determination by</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IR? Which method appears to be more definitive in this case? How might that depend on the</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difference between the electron-donating or withdrawing properties of the substituting groups</w:t>
      </w:r>
      <w:r w:rsidR="000A6C96" w:rsidRPr="000E6961">
        <w:rPr>
          <w:rFonts w:ascii="Times New Roman" w:hAnsi="Times New Roman" w:cs="Times New Roman"/>
          <w:b/>
          <w:sz w:val="24"/>
          <w:szCs w:val="24"/>
        </w:rPr>
        <w:t xml:space="preserve"> </w:t>
      </w:r>
      <w:r w:rsidRPr="000E6961">
        <w:rPr>
          <w:rFonts w:ascii="Times New Roman" w:hAnsi="Times New Roman" w:cs="Times New Roman"/>
          <w:b/>
          <w:sz w:val="24"/>
          <w:szCs w:val="24"/>
        </w:rPr>
        <w:t>and the magnet power of the NMR used?</w:t>
      </w:r>
    </w:p>
    <w:p w:rsidR="00D274B2" w:rsidRPr="007E013D"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 xml:space="preserve">Yes. </w:t>
      </w:r>
      <w:r w:rsidR="00775639" w:rsidRPr="000E6961">
        <w:rPr>
          <w:rFonts w:ascii="Times New Roman" w:hAnsi="Times New Roman" w:cs="Times New Roman"/>
          <w:sz w:val="24"/>
          <w:szCs w:val="24"/>
        </w:rPr>
        <w:t xml:space="preserve">Nuclear NMR is a spectroscopic </w:t>
      </w:r>
      <w:r w:rsidR="007D0659">
        <w:rPr>
          <w:rFonts w:ascii="Times New Roman" w:hAnsi="Times New Roman" w:cs="Times New Roman"/>
          <w:sz w:val="24"/>
          <w:szCs w:val="24"/>
        </w:rPr>
        <w:t>technique</w:t>
      </w:r>
      <w:r w:rsidR="00775639" w:rsidRPr="000E6961">
        <w:rPr>
          <w:rFonts w:ascii="Times New Roman" w:hAnsi="Times New Roman" w:cs="Times New Roman"/>
          <w:sz w:val="24"/>
          <w:szCs w:val="24"/>
        </w:rPr>
        <w:t xml:space="preserve"> used to study atomic nuclei's magnetic fields.</w:t>
      </w:r>
      <w:r w:rsidR="00C2715B" w:rsidRPr="000E6961">
        <w:rPr>
          <w:rFonts w:ascii="Times New Roman" w:hAnsi="Times New Roman" w:cs="Times New Roman"/>
          <w:sz w:val="24"/>
          <w:szCs w:val="24"/>
        </w:rPr>
        <w:t xml:space="preserve"> </w:t>
      </w:r>
      <w:r w:rsidR="007E1E14" w:rsidRPr="007E1E14">
        <w:rPr>
          <w:rFonts w:ascii="Times New Roman" w:hAnsi="Times New Roman" w:cs="Times New Roman"/>
          <w:sz w:val="24"/>
          <w:szCs w:val="24"/>
        </w:rPr>
        <w:t>The intramolecular magnetic field that surrounds an atom in a molecule changes the resonant frequencies, providing detailed information of a molecule's electronic structure and distinct functional groups (Claridge, 2016).</w:t>
      </w:r>
    </w:p>
    <w:p w:rsidR="00D274B2"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5. Theoretical and Percent Yield</w:t>
      </w:r>
    </w:p>
    <w:p w:rsidR="00D274B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Exact Mass of carboxylic acid used</w:t>
      </w:r>
      <w:r w:rsidR="007D6440" w:rsidRPr="000E6961">
        <w:rPr>
          <w:rFonts w:ascii="Times New Roman" w:hAnsi="Times New Roman" w:cs="Times New Roman"/>
          <w:sz w:val="24"/>
          <w:szCs w:val="24"/>
        </w:rPr>
        <w:t>=</w:t>
      </w:r>
      <w:r w:rsidR="002B63D6" w:rsidRPr="000E6961">
        <w:rPr>
          <w:rFonts w:ascii="Times New Roman" w:hAnsi="Times New Roman" w:cs="Times New Roman"/>
          <w:sz w:val="24"/>
          <w:szCs w:val="24"/>
        </w:rPr>
        <w:t>267g</w:t>
      </w:r>
    </w:p>
    <w:p w:rsidR="00D274B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Mass of 250-ml RBF</w:t>
      </w:r>
      <w:r w:rsidR="007D6440" w:rsidRPr="000E6961">
        <w:rPr>
          <w:rFonts w:ascii="Times New Roman" w:hAnsi="Times New Roman" w:cs="Times New Roman"/>
          <w:sz w:val="24"/>
          <w:szCs w:val="24"/>
        </w:rPr>
        <w:t>=</w:t>
      </w:r>
      <w:r w:rsidR="002B63D6" w:rsidRPr="000E6961">
        <w:rPr>
          <w:rFonts w:ascii="Times New Roman" w:hAnsi="Times New Roman" w:cs="Times New Roman"/>
          <w:sz w:val="24"/>
          <w:szCs w:val="24"/>
        </w:rPr>
        <w:t>15g</w:t>
      </w:r>
    </w:p>
    <w:p w:rsidR="00D274B2"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Mass of RBF w/ Product</w:t>
      </w:r>
      <w:r w:rsidR="007D6440" w:rsidRPr="000E6961">
        <w:rPr>
          <w:rFonts w:ascii="Times New Roman" w:hAnsi="Times New Roman" w:cs="Times New Roman"/>
          <w:sz w:val="24"/>
          <w:szCs w:val="24"/>
        </w:rPr>
        <w:t>=</w:t>
      </w:r>
      <w:r w:rsidR="000E6961" w:rsidRPr="000E6961">
        <w:rPr>
          <w:rFonts w:ascii="Times New Roman" w:hAnsi="Times New Roman" w:cs="Times New Roman"/>
          <w:sz w:val="24"/>
          <w:szCs w:val="24"/>
        </w:rPr>
        <w:t>32g</w:t>
      </w:r>
    </w:p>
    <w:p w:rsidR="00CD6F30"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Theoretical Mass Yield</w:t>
      </w:r>
      <w:r w:rsidR="00994980" w:rsidRPr="000E6961">
        <w:rPr>
          <w:rFonts w:ascii="Times New Roman" w:hAnsi="Times New Roman" w:cs="Times New Roman"/>
          <w:sz w:val="24"/>
          <w:szCs w:val="24"/>
        </w:rPr>
        <w:t>=</w:t>
      </w:r>
      <w:r w:rsidR="002B63D6" w:rsidRPr="000E6961">
        <w:rPr>
          <w:rFonts w:ascii="Times New Roman" w:hAnsi="Times New Roman" w:cs="Times New Roman"/>
          <w:sz w:val="24"/>
          <w:szCs w:val="24"/>
        </w:rPr>
        <w:t xml:space="preserve"> 35g</w:t>
      </w:r>
    </w:p>
    <w:p w:rsidR="00FA130A" w:rsidRPr="000E6961" w:rsidRDefault="00FA130A" w:rsidP="00FA130A">
      <w:pPr>
        <w:spacing w:after="0" w:line="480" w:lineRule="auto"/>
        <w:contextualSpacing/>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percent yield=</m:t>
          </m:r>
          <m:f>
            <m:fPr>
              <m:ctrlPr>
                <w:rPr>
                  <w:rFonts w:ascii="Cambria Math" w:hAnsi="Cambria Math" w:cs="Times New Roman"/>
                  <w:i/>
                  <w:sz w:val="24"/>
                  <w:szCs w:val="24"/>
                </w:rPr>
              </m:ctrlPr>
            </m:fPr>
            <m:num>
              <m:r>
                <w:rPr>
                  <w:rFonts w:ascii="Cambria Math" w:hAnsi="Cambria Math" w:cs="Times New Roman"/>
                  <w:sz w:val="24"/>
                  <w:szCs w:val="24"/>
                </w:rPr>
                <m:t>actual</m:t>
              </m:r>
            </m:num>
            <m:den>
              <m:r>
                <w:rPr>
                  <w:rFonts w:ascii="Cambria Math" w:hAnsi="Cambria Math" w:cs="Times New Roman"/>
                  <w:sz w:val="24"/>
                  <w:szCs w:val="24"/>
                </w:rPr>
                <m:t>theoretical</m:t>
              </m:r>
            </m:den>
          </m:f>
          <m:r>
            <w:rPr>
              <w:rFonts w:ascii="Cambria Math" w:hAnsi="Cambria Math" w:cs="Times New Roman"/>
              <w:sz w:val="24"/>
              <w:szCs w:val="24"/>
            </w:rPr>
            <m:t>yield×100</m:t>
          </m:r>
        </m:oMath>
      </m:oMathPara>
    </w:p>
    <w:p w:rsidR="00FA130A" w:rsidRPr="00081FC3" w:rsidRDefault="009C054C" w:rsidP="007F100B">
      <w:pPr>
        <w:spacing w:after="0" w:line="480" w:lineRule="auto"/>
        <w:contextualSpacing/>
        <w:rPr>
          <w:rFonts w:ascii="Times New Roman" w:eastAsiaTheme="minorEastAsia"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15</m:t>
              </m:r>
            </m:num>
            <m:den>
              <m:r>
                <w:rPr>
                  <w:rFonts w:ascii="Cambria Math" w:hAnsi="Cambria Math" w:cs="Times New Roman"/>
                  <w:sz w:val="24"/>
                  <w:szCs w:val="24"/>
                </w:rPr>
                <m:t>35</m:t>
              </m:r>
            </m:den>
          </m:f>
          <m:r>
            <w:rPr>
              <w:rFonts w:ascii="Cambria Math" w:hAnsi="Cambria Math" w:cs="Times New Roman"/>
              <w:sz w:val="24"/>
              <w:szCs w:val="24"/>
            </w:rPr>
            <m:t>×100</m:t>
          </m:r>
        </m:oMath>
      </m:oMathPara>
    </w:p>
    <w:p w:rsidR="00081FC3" w:rsidRPr="00081FC3" w:rsidRDefault="00081FC3" w:rsidP="007F100B">
      <w:pPr>
        <w:spacing w:after="0" w:line="480" w:lineRule="auto"/>
        <w:contextualSpacing/>
        <w:rPr>
          <w:rFonts w:ascii="Times New Roman" w:eastAsiaTheme="minorEastAsia" w:hAnsi="Times New Roman" w:cs="Times New Roman"/>
          <w:sz w:val="24"/>
          <w:szCs w:val="24"/>
        </w:rPr>
      </w:pPr>
    </w:p>
    <w:p w:rsidR="00CD6F30"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Percent Yield</w:t>
      </w:r>
      <w:r w:rsidR="00994980" w:rsidRPr="000E6961">
        <w:rPr>
          <w:rFonts w:ascii="Times New Roman" w:hAnsi="Times New Roman" w:cs="Times New Roman"/>
          <w:sz w:val="24"/>
          <w:szCs w:val="24"/>
        </w:rPr>
        <w:t>= 4</w:t>
      </w:r>
      <w:r w:rsidR="00BA67B4">
        <w:rPr>
          <w:rFonts w:ascii="Times New Roman" w:hAnsi="Times New Roman" w:cs="Times New Roman"/>
          <w:sz w:val="24"/>
          <w:szCs w:val="24"/>
        </w:rPr>
        <w:t>2</w:t>
      </w:r>
      <w:r w:rsidR="00994980" w:rsidRPr="000E6961">
        <w:rPr>
          <w:rFonts w:ascii="Times New Roman" w:hAnsi="Times New Roman" w:cs="Times New Roman"/>
          <w:sz w:val="24"/>
          <w:szCs w:val="24"/>
        </w:rPr>
        <w:t>.9%</w:t>
      </w:r>
    </w:p>
    <w:p w:rsidR="00E633E3"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6. IR Analysis</w:t>
      </w:r>
    </w:p>
    <w:p w:rsidR="00D702CD"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A</w:t>
      </w:r>
      <w:r w:rsidR="00E633E3" w:rsidRPr="000E6961">
        <w:rPr>
          <w:rFonts w:ascii="Times New Roman" w:hAnsi="Times New Roman" w:cs="Times New Roman"/>
          <w:b/>
          <w:sz w:val="24"/>
          <w:szCs w:val="24"/>
        </w:rPr>
        <w:t>tt</w:t>
      </w:r>
      <w:r w:rsidRPr="000E6961">
        <w:rPr>
          <w:rFonts w:ascii="Times New Roman" w:hAnsi="Times New Roman" w:cs="Times New Roman"/>
          <w:b/>
          <w:sz w:val="24"/>
          <w:szCs w:val="24"/>
        </w:rPr>
        <w:t xml:space="preserve">ach the </w:t>
      </w:r>
      <w:r w:rsidR="00E633E3" w:rsidRPr="000E6961">
        <w:rPr>
          <w:rFonts w:ascii="Times New Roman" w:hAnsi="Times New Roman" w:cs="Times New Roman"/>
          <w:b/>
          <w:sz w:val="24"/>
          <w:szCs w:val="24"/>
        </w:rPr>
        <w:t>IR</w:t>
      </w:r>
      <w:r w:rsidRPr="000E6961">
        <w:rPr>
          <w:rFonts w:ascii="Times New Roman" w:hAnsi="Times New Roman" w:cs="Times New Roman"/>
          <w:b/>
          <w:sz w:val="24"/>
          <w:szCs w:val="24"/>
        </w:rPr>
        <w:t xml:space="preserve"> and fill in the I</w:t>
      </w:r>
      <w:r w:rsidR="00E633E3" w:rsidRPr="000E6961">
        <w:rPr>
          <w:rFonts w:ascii="Times New Roman" w:hAnsi="Times New Roman" w:cs="Times New Roman"/>
          <w:b/>
          <w:sz w:val="24"/>
          <w:szCs w:val="24"/>
        </w:rPr>
        <w:t>R</w:t>
      </w:r>
      <w:r w:rsidRPr="000E6961">
        <w:rPr>
          <w:rFonts w:ascii="Times New Roman" w:hAnsi="Times New Roman" w:cs="Times New Roman"/>
          <w:b/>
          <w:sz w:val="24"/>
          <w:szCs w:val="24"/>
        </w:rPr>
        <w:t xml:space="preserve"> Table below. Examine the Fingerprint Region and make your b</w:t>
      </w:r>
      <w:r w:rsidR="00383F17" w:rsidRPr="000E6961">
        <w:rPr>
          <w:rFonts w:ascii="Times New Roman" w:hAnsi="Times New Roman" w:cs="Times New Roman"/>
          <w:b/>
          <w:sz w:val="24"/>
          <w:szCs w:val="24"/>
        </w:rPr>
        <w:t>est as</w:t>
      </w:r>
      <w:r w:rsidRPr="000E6961">
        <w:rPr>
          <w:rFonts w:ascii="Times New Roman" w:hAnsi="Times New Roman" w:cs="Times New Roman"/>
          <w:b/>
          <w:sz w:val="24"/>
          <w:szCs w:val="24"/>
        </w:rPr>
        <w:t>sessment of Ortho, mate, or para- Substitution</w:t>
      </w:r>
    </w:p>
    <w:p w:rsidR="0017797C"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IR Table</w:t>
      </w:r>
    </w:p>
    <w:tbl>
      <w:tblPr>
        <w:tblStyle w:val="TableGrid"/>
        <w:tblW w:w="0" w:type="auto"/>
        <w:tblLook w:val="04A0" w:firstRow="1" w:lastRow="0" w:firstColumn="1" w:lastColumn="0" w:noHBand="0" w:noVBand="1"/>
      </w:tblPr>
      <w:tblGrid>
        <w:gridCol w:w="3005"/>
        <w:gridCol w:w="3005"/>
        <w:gridCol w:w="3006"/>
      </w:tblGrid>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Functional Group</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Expected Range (cm³)</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Observed (cm)</w:t>
            </w:r>
          </w:p>
        </w:tc>
      </w:tr>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Phenol</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3200</w:t>
            </w:r>
            <w:r w:rsidR="004C7875" w:rsidRPr="000E6961">
              <w:rPr>
                <w:rFonts w:ascii="Times New Roman" w:hAnsi="Times New Roman" w:cs="Times New Roman"/>
                <w:sz w:val="24"/>
                <w:szCs w:val="24"/>
              </w:rPr>
              <w:t>-3650</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2100-2260</w:t>
            </w:r>
          </w:p>
        </w:tc>
      </w:tr>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Carbonyl</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3260-3330</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1690-1760</w:t>
            </w:r>
          </w:p>
        </w:tc>
      </w:tr>
      <w:tr w:rsidR="00D00527" w:rsidTr="00383F17">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Aromatic</w:t>
            </w:r>
          </w:p>
        </w:tc>
        <w:tc>
          <w:tcPr>
            <w:tcW w:w="3005"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3050-3150</w:t>
            </w:r>
          </w:p>
        </w:tc>
        <w:tc>
          <w:tcPr>
            <w:tcW w:w="3006" w:type="dxa"/>
          </w:tcPr>
          <w:p w:rsidR="00383F17"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1620-1680</w:t>
            </w:r>
          </w:p>
        </w:tc>
      </w:tr>
      <w:tr w:rsidR="00D00527" w:rsidTr="00383F17">
        <w:tc>
          <w:tcPr>
            <w:tcW w:w="3005" w:type="dxa"/>
          </w:tcPr>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Ortho, meta-, or para</w:t>
            </w:r>
          </w:p>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Substitution</w:t>
            </w:r>
          </w:p>
        </w:tc>
        <w:tc>
          <w:tcPr>
            <w:tcW w:w="3005" w:type="dxa"/>
          </w:tcPr>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2540-3000</w:t>
            </w:r>
          </w:p>
        </w:tc>
        <w:tc>
          <w:tcPr>
            <w:tcW w:w="3006" w:type="dxa"/>
          </w:tcPr>
          <w:p w:rsidR="00AE0783" w:rsidRPr="000E6961" w:rsidRDefault="00D95DED" w:rsidP="007F100B">
            <w:pPr>
              <w:spacing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100-1200</w:t>
            </w:r>
          </w:p>
        </w:tc>
      </w:tr>
    </w:tbl>
    <w:p w:rsidR="0017797C" w:rsidRPr="000E6961" w:rsidRDefault="0017797C" w:rsidP="007F100B">
      <w:pPr>
        <w:spacing w:after="0" w:line="480" w:lineRule="auto"/>
        <w:contextualSpacing/>
        <w:rPr>
          <w:rFonts w:ascii="Times New Roman" w:hAnsi="Times New Roman" w:cs="Times New Roman"/>
          <w:sz w:val="24"/>
          <w:szCs w:val="24"/>
        </w:rPr>
      </w:pPr>
    </w:p>
    <w:p w:rsidR="00D702CD"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Fingerprint region</w:t>
      </w:r>
    </w:p>
    <w:p w:rsidR="00A41AD6"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3962953" cy="180047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a:stretch>
                      <a:fillRect/>
                    </a:stretch>
                  </pic:blipFill>
                  <pic:spPr>
                    <a:xfrm>
                      <a:off x="0" y="0"/>
                      <a:ext cx="3962953" cy="1800476"/>
                    </a:xfrm>
                    <a:prstGeom prst="rect">
                      <a:avLst/>
                    </a:prstGeom>
                  </pic:spPr>
                </pic:pic>
              </a:graphicData>
            </a:graphic>
          </wp:inline>
        </w:drawing>
      </w:r>
    </w:p>
    <w:p w:rsidR="005F09BE"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7. Print out the full HNMR (80-12ppm) spectrum and draw the determined structure of the ester onto it. Label both the H-atoms and the signals as a, b, c... etc.</w:t>
      </w:r>
    </w:p>
    <w:p w:rsidR="005F09BE"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lastRenderedPageBreak/>
        <w:drawing>
          <wp:inline distT="0" distB="0" distL="0" distR="0">
            <wp:extent cx="2943636" cy="2143424"/>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a:stretch>
                      <a:fillRect/>
                    </a:stretch>
                  </pic:blipFill>
                  <pic:spPr>
                    <a:xfrm>
                      <a:off x="0" y="0"/>
                      <a:ext cx="2943636" cy="2143424"/>
                    </a:xfrm>
                    <a:prstGeom prst="rect">
                      <a:avLst/>
                    </a:prstGeom>
                  </pic:spPr>
                </pic:pic>
              </a:graphicData>
            </a:graphic>
          </wp:inline>
        </w:drawing>
      </w:r>
    </w:p>
    <w:p w:rsidR="00FA3BFB" w:rsidRPr="000E6961"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noProof/>
          <w:sz w:val="24"/>
          <w:szCs w:val="24"/>
        </w:rPr>
        <w:drawing>
          <wp:inline distT="0" distB="0" distL="0" distR="0">
            <wp:extent cx="1276528" cy="1171739"/>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4"/>
                    <a:stretch>
                      <a:fillRect/>
                    </a:stretch>
                  </pic:blipFill>
                  <pic:spPr>
                    <a:xfrm>
                      <a:off x="0" y="0"/>
                      <a:ext cx="1276528" cy="1171739"/>
                    </a:xfrm>
                    <a:prstGeom prst="rect">
                      <a:avLst/>
                    </a:prstGeom>
                  </pic:spPr>
                </pic:pic>
              </a:graphicData>
            </a:graphic>
          </wp:inline>
        </w:drawing>
      </w:r>
    </w:p>
    <w:p w:rsidR="005F09BE" w:rsidRPr="000E6961" w:rsidRDefault="00D95DED" w:rsidP="007F100B">
      <w:pPr>
        <w:spacing w:after="0" w:line="480" w:lineRule="auto"/>
        <w:contextualSpacing/>
        <w:rPr>
          <w:rFonts w:ascii="Times New Roman" w:hAnsi="Times New Roman" w:cs="Times New Roman"/>
          <w:b/>
          <w:sz w:val="24"/>
          <w:szCs w:val="24"/>
        </w:rPr>
      </w:pPr>
      <w:r w:rsidRPr="000E6961">
        <w:rPr>
          <w:rFonts w:ascii="Times New Roman" w:hAnsi="Times New Roman" w:cs="Times New Roman"/>
          <w:b/>
          <w:sz w:val="24"/>
          <w:szCs w:val="24"/>
        </w:rPr>
        <w:t>8. Did your determination of substitution by NMR analysis agree with that of your determination by IR? Which method appears to be more definitive in this case? How might that depend on the difference between the electron-donating or withdrawing properties of the substituting groups and the magnet power of the NMR used?</w:t>
      </w:r>
    </w:p>
    <w:p w:rsidR="0081554B" w:rsidRDefault="00D95DED" w:rsidP="007F100B">
      <w:pPr>
        <w:spacing w:after="0" w:line="480" w:lineRule="auto"/>
        <w:contextualSpacing/>
        <w:rPr>
          <w:rFonts w:ascii="Times New Roman" w:hAnsi="Times New Roman" w:cs="Times New Roman"/>
          <w:sz w:val="24"/>
          <w:szCs w:val="24"/>
        </w:rPr>
      </w:pPr>
      <w:r w:rsidRPr="000E6961">
        <w:rPr>
          <w:rFonts w:ascii="Times New Roman" w:hAnsi="Times New Roman" w:cs="Times New Roman"/>
          <w:sz w:val="24"/>
          <w:szCs w:val="24"/>
        </w:rPr>
        <w:t xml:space="preserve">Yes. </w:t>
      </w:r>
      <w:r w:rsidR="00A07423" w:rsidRPr="000E6961">
        <w:rPr>
          <w:rFonts w:ascii="Times New Roman" w:hAnsi="Times New Roman" w:cs="Times New Roman"/>
          <w:sz w:val="24"/>
          <w:szCs w:val="24"/>
        </w:rPr>
        <w:t>The most important approach for identifying the structure of organic molecules is nuclear magnetic resonance (NMR). It is the only spectroscopic approach for which a thorough study and interpretation of the entire spectrum is typically anticipated. Although greater volumes of material are required than for mass spectroscopy, NMR is non-destructive. Using current equipment, good data may be acquired from quantities measuring as little as a milligram</w:t>
      </w:r>
      <w:r w:rsidR="00961120">
        <w:rPr>
          <w:rFonts w:ascii="Times New Roman" w:hAnsi="Times New Roman" w:cs="Times New Roman"/>
          <w:sz w:val="24"/>
          <w:szCs w:val="24"/>
        </w:rPr>
        <w:t xml:space="preserve"> (</w:t>
      </w:r>
      <w:r w:rsidR="00961120" w:rsidRPr="00B1110C">
        <w:rPr>
          <w:rFonts w:ascii="Times New Roman" w:hAnsi="Times New Roman" w:cs="Times New Roman"/>
          <w:sz w:val="24"/>
          <w:szCs w:val="24"/>
          <w:shd w:val="clear" w:color="auto" w:fill="FFFFFF"/>
        </w:rPr>
        <w:t>Boykin, 2020)</w:t>
      </w:r>
      <w:r w:rsidR="00A07423" w:rsidRPr="000E6961">
        <w:rPr>
          <w:rFonts w:ascii="Times New Roman" w:hAnsi="Times New Roman" w:cs="Times New Roman"/>
          <w:sz w:val="24"/>
          <w:szCs w:val="24"/>
        </w:rPr>
        <w:t>.</w:t>
      </w:r>
    </w:p>
    <w:p w:rsidR="00961120" w:rsidRDefault="00D95DED">
      <w:pPr>
        <w:rPr>
          <w:rFonts w:ascii="Times New Roman" w:hAnsi="Times New Roman" w:cs="Times New Roman"/>
          <w:b/>
          <w:sz w:val="24"/>
          <w:szCs w:val="24"/>
        </w:rPr>
      </w:pPr>
      <w:r>
        <w:rPr>
          <w:rFonts w:ascii="Times New Roman" w:hAnsi="Times New Roman" w:cs="Times New Roman"/>
          <w:b/>
          <w:sz w:val="24"/>
          <w:szCs w:val="24"/>
        </w:rPr>
        <w:br w:type="page"/>
      </w:r>
    </w:p>
    <w:p w:rsidR="00CD6C0B" w:rsidRPr="00B1110C" w:rsidRDefault="00D95DED" w:rsidP="00B1110C">
      <w:pPr>
        <w:spacing w:after="0" w:line="480" w:lineRule="auto"/>
        <w:contextualSpacing/>
        <w:jc w:val="center"/>
        <w:rPr>
          <w:rFonts w:ascii="Times New Roman" w:hAnsi="Times New Roman" w:cs="Times New Roman"/>
          <w:b/>
          <w:sz w:val="24"/>
          <w:szCs w:val="24"/>
        </w:rPr>
      </w:pPr>
      <w:r w:rsidRPr="00B1110C">
        <w:rPr>
          <w:rFonts w:ascii="Times New Roman" w:hAnsi="Times New Roman" w:cs="Times New Roman"/>
          <w:b/>
          <w:sz w:val="24"/>
          <w:szCs w:val="24"/>
        </w:rPr>
        <w:lastRenderedPageBreak/>
        <w:t>References</w:t>
      </w:r>
    </w:p>
    <w:p w:rsidR="00B1110C" w:rsidRPr="00B1110C" w:rsidRDefault="00D95DED" w:rsidP="00B1110C">
      <w:pPr>
        <w:spacing w:after="0" w:line="480" w:lineRule="auto"/>
        <w:ind w:left="720" w:hanging="720"/>
        <w:contextualSpacing/>
        <w:rPr>
          <w:rFonts w:ascii="Times New Roman" w:hAnsi="Times New Roman" w:cs="Times New Roman"/>
          <w:sz w:val="24"/>
          <w:szCs w:val="24"/>
          <w:shd w:val="clear" w:color="auto" w:fill="FFFFFF"/>
        </w:rPr>
      </w:pPr>
      <w:r w:rsidRPr="00B1110C">
        <w:rPr>
          <w:rFonts w:ascii="Times New Roman" w:hAnsi="Times New Roman" w:cs="Times New Roman"/>
          <w:sz w:val="24"/>
          <w:szCs w:val="24"/>
          <w:shd w:val="clear" w:color="auto" w:fill="FFFFFF"/>
        </w:rPr>
        <w:t>Boykin, D. W. (2020). 17 0 NMR Spectroscopy in Organic Chemistry.</w:t>
      </w:r>
    </w:p>
    <w:p w:rsidR="00B1110C" w:rsidRPr="00B1110C" w:rsidRDefault="00D95DED" w:rsidP="00B1110C">
      <w:pPr>
        <w:spacing w:after="0" w:line="480" w:lineRule="auto"/>
        <w:ind w:left="720" w:hanging="720"/>
        <w:contextualSpacing/>
        <w:rPr>
          <w:rFonts w:ascii="Times New Roman" w:hAnsi="Times New Roman" w:cs="Times New Roman"/>
          <w:sz w:val="24"/>
          <w:szCs w:val="24"/>
        </w:rPr>
      </w:pPr>
      <w:r w:rsidRPr="00B1110C">
        <w:rPr>
          <w:rFonts w:ascii="Times New Roman" w:hAnsi="Times New Roman" w:cs="Times New Roman"/>
          <w:sz w:val="24"/>
          <w:szCs w:val="24"/>
        </w:rPr>
        <w:t>Claridge, T. D. (2016). High-resolution NMR techniques in organic chemistry (Vol. 27). Elsevier.</w:t>
      </w:r>
    </w:p>
    <w:p w:rsidR="00B1110C" w:rsidRPr="000E6961" w:rsidRDefault="00B1110C" w:rsidP="007F100B">
      <w:pPr>
        <w:spacing w:after="0" w:line="480" w:lineRule="auto"/>
        <w:contextualSpacing/>
        <w:rPr>
          <w:rFonts w:ascii="Times New Roman" w:hAnsi="Times New Roman" w:cs="Times New Roman"/>
          <w:sz w:val="24"/>
          <w:szCs w:val="24"/>
        </w:rPr>
      </w:pPr>
    </w:p>
    <w:p w:rsidR="0059195D" w:rsidRPr="000E6961" w:rsidRDefault="0059195D" w:rsidP="007F100B">
      <w:pPr>
        <w:spacing w:after="0" w:line="480" w:lineRule="auto"/>
        <w:contextualSpacing/>
        <w:rPr>
          <w:rFonts w:ascii="Times New Roman" w:hAnsi="Times New Roman" w:cs="Times New Roman"/>
          <w:sz w:val="24"/>
          <w:szCs w:val="24"/>
        </w:rPr>
      </w:pPr>
    </w:p>
    <w:sectPr w:rsidR="0059195D" w:rsidRPr="000E6961">
      <w:head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054C" w:rsidRDefault="009C054C">
      <w:pPr>
        <w:spacing w:after="0" w:line="240" w:lineRule="auto"/>
      </w:pPr>
      <w:r>
        <w:separator/>
      </w:r>
    </w:p>
  </w:endnote>
  <w:endnote w:type="continuationSeparator" w:id="0">
    <w:p w:rsidR="009C054C" w:rsidRDefault="009C0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054C" w:rsidRDefault="009C054C">
      <w:pPr>
        <w:spacing w:after="0" w:line="240" w:lineRule="auto"/>
      </w:pPr>
      <w:r>
        <w:separator/>
      </w:r>
    </w:p>
  </w:footnote>
  <w:footnote w:type="continuationSeparator" w:id="0">
    <w:p w:rsidR="009C054C" w:rsidRDefault="009C05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1708107"/>
      <w:docPartObj>
        <w:docPartGallery w:val="Page Numbers (Top of Page)"/>
        <w:docPartUnique/>
      </w:docPartObj>
    </w:sdtPr>
    <w:sdtEndPr>
      <w:rPr>
        <w:rFonts w:ascii="Times New Roman" w:hAnsi="Times New Roman" w:cs="Times New Roman"/>
        <w:noProof/>
        <w:sz w:val="24"/>
      </w:rPr>
    </w:sdtEndPr>
    <w:sdtContent>
      <w:p w:rsidR="007E013D" w:rsidRPr="007E013D" w:rsidRDefault="00D95DED">
        <w:pPr>
          <w:pStyle w:val="Header"/>
          <w:jc w:val="right"/>
          <w:rPr>
            <w:rFonts w:ascii="Times New Roman" w:hAnsi="Times New Roman" w:cs="Times New Roman"/>
            <w:sz w:val="24"/>
          </w:rPr>
        </w:pPr>
        <w:r w:rsidRPr="007E013D">
          <w:rPr>
            <w:rFonts w:ascii="Times New Roman" w:hAnsi="Times New Roman" w:cs="Times New Roman"/>
            <w:sz w:val="24"/>
          </w:rPr>
          <w:fldChar w:fldCharType="begin"/>
        </w:r>
        <w:r w:rsidRPr="007E013D">
          <w:rPr>
            <w:rFonts w:ascii="Times New Roman" w:hAnsi="Times New Roman" w:cs="Times New Roman"/>
            <w:sz w:val="24"/>
          </w:rPr>
          <w:instrText xml:space="preserve"> PAGE   \* MERGEFORMAT </w:instrText>
        </w:r>
        <w:r w:rsidRPr="007E013D">
          <w:rPr>
            <w:rFonts w:ascii="Times New Roman" w:hAnsi="Times New Roman" w:cs="Times New Roman"/>
            <w:sz w:val="24"/>
          </w:rPr>
          <w:fldChar w:fldCharType="separate"/>
        </w:r>
        <w:r w:rsidR="003D2687">
          <w:rPr>
            <w:rFonts w:ascii="Times New Roman" w:hAnsi="Times New Roman" w:cs="Times New Roman"/>
            <w:noProof/>
            <w:sz w:val="24"/>
          </w:rPr>
          <w:t>8</w:t>
        </w:r>
        <w:r w:rsidRPr="007E013D">
          <w:rPr>
            <w:rFonts w:ascii="Times New Roman" w:hAnsi="Times New Roman" w:cs="Times New Roman"/>
            <w:noProof/>
            <w:sz w:val="24"/>
          </w:rPr>
          <w:fldChar w:fldCharType="end"/>
        </w:r>
      </w:p>
    </w:sdtContent>
  </w:sdt>
  <w:p w:rsidR="007E013D" w:rsidRPr="007E013D" w:rsidRDefault="007E013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9BE"/>
    <w:rsid w:val="00020A00"/>
    <w:rsid w:val="00081FC3"/>
    <w:rsid w:val="00092CD2"/>
    <w:rsid w:val="00093EA7"/>
    <w:rsid w:val="000A6C96"/>
    <w:rsid w:val="000E6961"/>
    <w:rsid w:val="00116D82"/>
    <w:rsid w:val="00155131"/>
    <w:rsid w:val="0017797C"/>
    <w:rsid w:val="00206271"/>
    <w:rsid w:val="00213C16"/>
    <w:rsid w:val="00256272"/>
    <w:rsid w:val="002962AB"/>
    <w:rsid w:val="002B63D6"/>
    <w:rsid w:val="002D0D8F"/>
    <w:rsid w:val="002D1355"/>
    <w:rsid w:val="003408E5"/>
    <w:rsid w:val="00376895"/>
    <w:rsid w:val="00383F17"/>
    <w:rsid w:val="003C0CF1"/>
    <w:rsid w:val="003D2687"/>
    <w:rsid w:val="003F1519"/>
    <w:rsid w:val="00406852"/>
    <w:rsid w:val="004A5022"/>
    <w:rsid w:val="004C539C"/>
    <w:rsid w:val="004C7875"/>
    <w:rsid w:val="004F27D5"/>
    <w:rsid w:val="00507777"/>
    <w:rsid w:val="005161A1"/>
    <w:rsid w:val="0052722C"/>
    <w:rsid w:val="00562CD9"/>
    <w:rsid w:val="0059195D"/>
    <w:rsid w:val="005B3A4C"/>
    <w:rsid w:val="005E5B29"/>
    <w:rsid w:val="005F09BE"/>
    <w:rsid w:val="005F67AC"/>
    <w:rsid w:val="006A287C"/>
    <w:rsid w:val="006A4FA8"/>
    <w:rsid w:val="006A68E1"/>
    <w:rsid w:val="006B7423"/>
    <w:rsid w:val="006C12CF"/>
    <w:rsid w:val="006C7E9B"/>
    <w:rsid w:val="006D3479"/>
    <w:rsid w:val="00707294"/>
    <w:rsid w:val="00775639"/>
    <w:rsid w:val="007D0659"/>
    <w:rsid w:val="007D6440"/>
    <w:rsid w:val="007E013D"/>
    <w:rsid w:val="007E1E14"/>
    <w:rsid w:val="007F100B"/>
    <w:rsid w:val="0081554B"/>
    <w:rsid w:val="008828EE"/>
    <w:rsid w:val="00891781"/>
    <w:rsid w:val="00897D98"/>
    <w:rsid w:val="00961120"/>
    <w:rsid w:val="0099400E"/>
    <w:rsid w:val="00994980"/>
    <w:rsid w:val="009C054C"/>
    <w:rsid w:val="009E33E6"/>
    <w:rsid w:val="00A07423"/>
    <w:rsid w:val="00A14EA7"/>
    <w:rsid w:val="00A41AD6"/>
    <w:rsid w:val="00A60382"/>
    <w:rsid w:val="00AE0783"/>
    <w:rsid w:val="00B1110C"/>
    <w:rsid w:val="00B93B66"/>
    <w:rsid w:val="00BA67B4"/>
    <w:rsid w:val="00C2715B"/>
    <w:rsid w:val="00CD6C0B"/>
    <w:rsid w:val="00CD6F30"/>
    <w:rsid w:val="00D00527"/>
    <w:rsid w:val="00D274B2"/>
    <w:rsid w:val="00D702CD"/>
    <w:rsid w:val="00D95DED"/>
    <w:rsid w:val="00DC0AD5"/>
    <w:rsid w:val="00E0011F"/>
    <w:rsid w:val="00E24DFA"/>
    <w:rsid w:val="00E26AA6"/>
    <w:rsid w:val="00E633E3"/>
    <w:rsid w:val="00E734F1"/>
    <w:rsid w:val="00F567AB"/>
    <w:rsid w:val="00FA130A"/>
    <w:rsid w:val="00FA3BFB"/>
    <w:rsid w:val="00FB2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F73BE-F40F-4C05-B0F6-D35F8365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3F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56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7AB"/>
  </w:style>
  <w:style w:type="paragraph" w:styleId="Footer">
    <w:name w:val="footer"/>
    <w:basedOn w:val="Normal"/>
    <w:link w:val="FooterChar"/>
    <w:uiPriority w:val="99"/>
    <w:unhideWhenUsed/>
    <w:rsid w:val="00F56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7AB"/>
  </w:style>
  <w:style w:type="character" w:styleId="PlaceholderText">
    <w:name w:val="Placeholder Text"/>
    <w:basedOn w:val="DefaultParagraphFont"/>
    <w:uiPriority w:val="99"/>
    <w:semiHidden/>
    <w:rsid w:val="00E001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gif"/><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2021-09-25T21:51:00Z</dcterms:created>
  <dcterms:modified xsi:type="dcterms:W3CDTF">2021-09-25T21:52:00Z</dcterms:modified>
</cp:coreProperties>
</file>